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charts/chart2.xml" ContentType="application/vnd.openxmlformats-officedocument.drawingml.chart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D4555" w:rsidRDefault="00AD4555" w:rsidP="00AD4555">
      <w:pPr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It’s a Man’s (Celluloid) World</w:t>
      </w:r>
      <w:r w:rsidRPr="00311877">
        <w:rPr>
          <w:rFonts w:ascii="Book Antiqua" w:hAnsi="Book Antiqua"/>
          <w:b/>
          <w:sz w:val="32"/>
        </w:rPr>
        <w:t xml:space="preserve">:  </w:t>
      </w:r>
      <w:r w:rsidRPr="007734BA">
        <w:rPr>
          <w:rFonts w:ascii="Book Antiqua" w:hAnsi="Book Antiqua"/>
          <w:b/>
          <w:sz w:val="32"/>
        </w:rPr>
        <w:t>On-Screen Representations</w:t>
      </w:r>
      <w:r w:rsidRPr="00311877">
        <w:rPr>
          <w:rFonts w:ascii="Book Antiqua" w:hAnsi="Book Antiqua"/>
          <w:b/>
          <w:sz w:val="32"/>
        </w:rPr>
        <w:t xml:space="preserve"> of </w:t>
      </w:r>
      <w:r>
        <w:rPr>
          <w:rFonts w:ascii="Book Antiqua" w:hAnsi="Book Antiqua"/>
          <w:b/>
          <w:sz w:val="32"/>
        </w:rPr>
        <w:t>Female Characters in the Top 100 Films of 2013</w:t>
      </w:r>
    </w:p>
    <w:p w:rsidR="00AD4555" w:rsidRPr="00EA0DDC" w:rsidRDefault="00AD4555" w:rsidP="00AD4555">
      <w:pPr>
        <w:rPr>
          <w:rFonts w:ascii="Book Antiqua" w:hAnsi="Book Antiqua"/>
          <w:sz w:val="20"/>
        </w:rPr>
      </w:pPr>
      <w:r w:rsidRPr="00EA0DDC">
        <w:rPr>
          <w:rFonts w:ascii="Book Antiqua" w:hAnsi="Book Antiqua"/>
          <w:sz w:val="20"/>
        </w:rPr>
        <w:t>by Martha M. Lauzen, Ph.D.</w:t>
      </w:r>
    </w:p>
    <w:p w:rsidR="00AD4555" w:rsidRPr="00EA0DDC" w:rsidRDefault="00AD4555" w:rsidP="00AD4555">
      <w:pPr>
        <w:pBdr>
          <w:bottom w:val="single" w:sz="12" w:space="1" w:color="auto"/>
        </w:pBdr>
        <w:rPr>
          <w:rFonts w:ascii="Book Antiqua" w:hAnsi="Book Antiqua"/>
          <w:sz w:val="16"/>
        </w:rPr>
      </w:pPr>
      <w:r w:rsidRPr="00EA0DDC">
        <w:rPr>
          <w:rFonts w:ascii="Book Antiqua" w:hAnsi="Book Antiqua"/>
          <w:sz w:val="16"/>
        </w:rPr>
        <w:t xml:space="preserve">Copyright </w:t>
      </w:r>
      <w:r w:rsidRPr="00EA0DDC">
        <w:rPr>
          <w:rFonts w:ascii="Book Antiqua" w:hAnsi="Book Antiqua" w:cs="Book Antiqua"/>
          <w:color w:val="000000"/>
          <w:sz w:val="16"/>
          <w:szCs w:val="15"/>
        </w:rPr>
        <w:t xml:space="preserve">© </w:t>
      </w:r>
      <w:r>
        <w:rPr>
          <w:rFonts w:ascii="Book Antiqua" w:hAnsi="Book Antiqua"/>
          <w:sz w:val="16"/>
        </w:rPr>
        <w:t>2014</w:t>
      </w:r>
      <w:r w:rsidRPr="00EA0DDC">
        <w:rPr>
          <w:rFonts w:ascii="Book Antiqua" w:hAnsi="Book Antiqua"/>
          <w:sz w:val="16"/>
        </w:rPr>
        <w:t>– All rights reserved.</w:t>
      </w:r>
    </w:p>
    <w:p w:rsidR="00AD4555" w:rsidRPr="00753D73" w:rsidRDefault="00AD4555" w:rsidP="00AD4555">
      <w:pPr>
        <w:pBdr>
          <w:bottom w:val="single" w:sz="12" w:space="1" w:color="auto"/>
        </w:pBdr>
        <w:rPr>
          <w:rFonts w:ascii="Book Antiqua" w:hAnsi="Book Antiqua"/>
          <w:sz w:val="18"/>
        </w:rPr>
      </w:pPr>
    </w:p>
    <w:p w:rsidR="00066B02" w:rsidRDefault="006429D3" w:rsidP="00AD4555">
      <w:pPr>
        <w:rPr>
          <w:rFonts w:ascii="Book Antiqua" w:hAnsi="Book Antiqua"/>
        </w:rPr>
      </w:pPr>
      <w:r>
        <w:rPr>
          <w:rFonts w:ascii="Book Antiqua" w:hAnsi="Book Antiqua"/>
        </w:rPr>
        <w:t>Female characters remain</w:t>
      </w:r>
      <w:r w:rsidR="00B24F95">
        <w:rPr>
          <w:rFonts w:ascii="Book Antiqua" w:hAnsi="Book Antiqua"/>
        </w:rPr>
        <w:t>ed</w:t>
      </w:r>
      <w:r w:rsidR="00066B02">
        <w:rPr>
          <w:rFonts w:ascii="Book Antiqua" w:hAnsi="Book Antiqua"/>
        </w:rPr>
        <w:t xml:space="preserve"> dramatically und</w:t>
      </w:r>
      <w:r w:rsidR="00600CCB">
        <w:rPr>
          <w:rFonts w:ascii="Book Antiqua" w:hAnsi="Book Antiqua"/>
        </w:rPr>
        <w:t>er-represented as protagonists</w:t>
      </w:r>
      <w:r w:rsidR="001203DB">
        <w:rPr>
          <w:rFonts w:ascii="Book Antiqua" w:hAnsi="Book Antiqua"/>
        </w:rPr>
        <w:t xml:space="preserve">, major characters, and </w:t>
      </w:r>
      <w:r w:rsidR="00600CCB">
        <w:rPr>
          <w:rFonts w:ascii="Book Antiqua" w:hAnsi="Book Antiqua"/>
        </w:rPr>
        <w:t xml:space="preserve">speaking </w:t>
      </w:r>
      <w:r w:rsidR="0052265D">
        <w:rPr>
          <w:rFonts w:ascii="Book Antiqua" w:hAnsi="Book Antiqua"/>
        </w:rPr>
        <w:t xml:space="preserve">(major and minor) </w:t>
      </w:r>
      <w:r w:rsidR="00600CCB">
        <w:rPr>
          <w:rFonts w:ascii="Book Antiqua" w:hAnsi="Book Antiqua"/>
        </w:rPr>
        <w:t xml:space="preserve">characters </w:t>
      </w:r>
      <w:r w:rsidR="00066B02">
        <w:rPr>
          <w:rFonts w:ascii="Book Antiqua" w:hAnsi="Book Antiqua"/>
        </w:rPr>
        <w:t>in the top grossing films of 2013.</w:t>
      </w:r>
    </w:p>
    <w:p w:rsidR="001203DB" w:rsidRDefault="0052265D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Females </w:t>
      </w:r>
      <w:r w:rsidR="00771F47">
        <w:rPr>
          <w:rFonts w:ascii="Book Antiqua" w:hAnsi="Book Antiqua"/>
        </w:rPr>
        <w:t>comprised</w:t>
      </w:r>
      <w:r w:rsidR="001203DB">
        <w:rPr>
          <w:rFonts w:ascii="Book Antiqua" w:hAnsi="Book Antiqua"/>
        </w:rPr>
        <w:t xml:space="preserve"> 15% of protagonists, 29% of major characters, and</w:t>
      </w:r>
      <w:r w:rsidR="004F765E">
        <w:rPr>
          <w:rFonts w:ascii="Book Antiqua" w:hAnsi="Book Antiqua"/>
        </w:rPr>
        <w:t xml:space="preserve"> 30% of all speaking characters</w:t>
      </w:r>
      <w:r w:rsidR="001203DB">
        <w:rPr>
          <w:rFonts w:ascii="Book Antiqua" w:hAnsi="Book Antiqua"/>
        </w:rPr>
        <w:t>.</w:t>
      </w:r>
    </w:p>
    <w:p w:rsidR="005B1F7A" w:rsidRDefault="001203DB" w:rsidP="00AD4555">
      <w:pPr>
        <w:rPr>
          <w:rFonts w:ascii="Book Antiqua" w:hAnsi="Book Antiqua"/>
        </w:rPr>
      </w:pPr>
      <w:r>
        <w:rPr>
          <w:rFonts w:ascii="Book Antiqua" w:hAnsi="Book Antiqua"/>
        </w:rPr>
        <w:t>Only 13% of the top 100 films featured equal numbers of major female and male characters, or more major female characters than male characters.</w:t>
      </w:r>
    </w:p>
    <w:p w:rsidR="00B42EDC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Female characters </w:t>
      </w:r>
      <w:r w:rsidR="006429D3">
        <w:rPr>
          <w:rFonts w:ascii="Book Antiqua" w:hAnsi="Book Antiqua"/>
        </w:rPr>
        <w:t>we</w:t>
      </w:r>
      <w:r w:rsidR="006151A8">
        <w:rPr>
          <w:rFonts w:ascii="Book Antiqua" w:hAnsi="Book Antiqua"/>
        </w:rPr>
        <w:t>re</w:t>
      </w:r>
      <w:r>
        <w:rPr>
          <w:rFonts w:ascii="Book Antiqua" w:hAnsi="Book Antiqua"/>
        </w:rPr>
        <w:t xml:space="preserve"> younger th</w:t>
      </w:r>
      <w:r w:rsidR="006429D3">
        <w:rPr>
          <w:rFonts w:ascii="Book Antiqua" w:hAnsi="Book Antiqua"/>
        </w:rPr>
        <w:t>an their male counterparts and we</w:t>
      </w:r>
      <w:r>
        <w:rPr>
          <w:rFonts w:ascii="Book Antiqua" w:hAnsi="Book Antiqua"/>
        </w:rPr>
        <w:t>re more likely than males to have an identifiable marital statu</w:t>
      </w:r>
      <w:r w:rsidR="006429D3">
        <w:rPr>
          <w:rFonts w:ascii="Book Antiqua" w:hAnsi="Book Antiqua"/>
        </w:rPr>
        <w:t>s.  Further, female characters we</w:t>
      </w:r>
      <w:r w:rsidR="00102218">
        <w:rPr>
          <w:rFonts w:ascii="Book Antiqua" w:hAnsi="Book Antiqua"/>
        </w:rPr>
        <w:t xml:space="preserve">re </w:t>
      </w:r>
      <w:r>
        <w:rPr>
          <w:rFonts w:ascii="Book Antiqua" w:hAnsi="Book Antiqua"/>
        </w:rPr>
        <w:t xml:space="preserve">less likely than males to </w:t>
      </w:r>
      <w:r w:rsidR="00B42EDC">
        <w:rPr>
          <w:rFonts w:ascii="Book Antiqua" w:hAnsi="Book Antiqua"/>
        </w:rPr>
        <w:t xml:space="preserve">have clearly identifiable goals or </w:t>
      </w:r>
      <w:r>
        <w:rPr>
          <w:rFonts w:ascii="Book Antiqua" w:hAnsi="Book Antiqua"/>
        </w:rPr>
        <w:t>be portrayed as leaders of any kind</w:t>
      </w:r>
      <w:r w:rsidR="00B42EDC">
        <w:rPr>
          <w:rFonts w:ascii="Book Antiqua" w:hAnsi="Book Antiqua"/>
        </w:rPr>
        <w:t>.</w:t>
      </w:r>
    </w:p>
    <w:p w:rsidR="006151A8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>The following summary reports the findings of a content analysis of over 2,300 characters appearing in the top grossing films of 2013.  The report compares these most recent figures w</w:t>
      </w:r>
      <w:r w:rsidR="001203DB">
        <w:rPr>
          <w:rFonts w:ascii="Book Antiqua" w:hAnsi="Book Antiqua"/>
        </w:rPr>
        <w:t xml:space="preserve">ith findings from 2011 and 2002.  Overall, this report considers the representation  of </w:t>
      </w:r>
      <w:r w:rsidR="00600CCB">
        <w:rPr>
          <w:rFonts w:ascii="Book Antiqua" w:hAnsi="Book Antiqua"/>
        </w:rPr>
        <w:t>approximately</w:t>
      </w:r>
      <w:r w:rsidR="00DE1AD0">
        <w:rPr>
          <w:rFonts w:ascii="Book Antiqua" w:hAnsi="Book Antiqua"/>
        </w:rPr>
        <w:t xml:space="preserve"> 7,000 characters in </w:t>
      </w:r>
      <w:r w:rsidR="006429D3">
        <w:rPr>
          <w:rFonts w:ascii="Book Antiqua" w:hAnsi="Book Antiqua"/>
        </w:rPr>
        <w:t>300 films.</w:t>
      </w:r>
    </w:p>
    <w:p w:rsidR="00B24F95" w:rsidRDefault="006151A8" w:rsidP="00AD4555">
      <w:pPr>
        <w:rPr>
          <w:rFonts w:ascii="Book Antiqua" w:hAnsi="Book Antiqua"/>
        </w:rPr>
      </w:pPr>
      <w:r>
        <w:rPr>
          <w:rFonts w:ascii="Book Antiqua" w:hAnsi="Book Antiqua"/>
        </w:rPr>
        <w:t>The findings are divided into three major sections.  The first section reports the percentages of female and male characters in the top grossing films.  The second section reports vari</w:t>
      </w:r>
      <w:r w:rsidR="001203DB">
        <w:rPr>
          <w:rFonts w:ascii="Book Antiqua" w:hAnsi="Book Antiqua"/>
        </w:rPr>
        <w:t xml:space="preserve">ous demographic </w:t>
      </w:r>
      <w:r w:rsidR="000E53B3">
        <w:rPr>
          <w:rFonts w:ascii="Book Antiqua" w:hAnsi="Book Antiqua"/>
        </w:rPr>
        <w:t>traits of characters</w:t>
      </w:r>
      <w:r>
        <w:rPr>
          <w:rFonts w:ascii="Book Antiqua" w:hAnsi="Book Antiqua"/>
        </w:rPr>
        <w:t xml:space="preserve">, including </w:t>
      </w:r>
      <w:r w:rsidR="00B42EDC">
        <w:rPr>
          <w:rFonts w:ascii="Book Antiqua" w:hAnsi="Book Antiqua"/>
        </w:rPr>
        <w:t xml:space="preserve">age, race, </w:t>
      </w:r>
      <w:r>
        <w:rPr>
          <w:rFonts w:ascii="Book Antiqua" w:hAnsi="Book Antiqua"/>
        </w:rPr>
        <w:t xml:space="preserve"> marital status, and occupational status.  The third section reports on the g</w:t>
      </w:r>
      <w:r w:rsidR="006429D3">
        <w:rPr>
          <w:rFonts w:ascii="Book Antiqua" w:hAnsi="Book Antiqua"/>
        </w:rPr>
        <w:t>oals and leadership positions held by</w:t>
      </w:r>
      <w:r>
        <w:rPr>
          <w:rFonts w:ascii="Book Antiqua" w:hAnsi="Book Antiqua"/>
        </w:rPr>
        <w:t xml:space="preserve"> characters.</w:t>
      </w:r>
    </w:p>
    <w:p w:rsidR="00124602" w:rsidRDefault="00124602" w:rsidP="00AD4555">
      <w:pPr>
        <w:rPr>
          <w:rFonts w:ascii="Book Antiqua" w:hAnsi="Book Antiqua"/>
        </w:rPr>
      </w:pPr>
    </w:p>
    <w:p w:rsidR="00AD4555" w:rsidRPr="006A0916" w:rsidRDefault="00AD4555" w:rsidP="00AD4555">
      <w:pPr>
        <w:rPr>
          <w:rFonts w:ascii="Book Antiqua" w:hAnsi="Book Antiqua"/>
          <w:i/>
        </w:rPr>
      </w:pPr>
      <w:r w:rsidRPr="00B966D2">
        <w:rPr>
          <w:rFonts w:ascii="Book Antiqua" w:hAnsi="Book Antiqua"/>
          <w:i/>
        </w:rPr>
        <w:t>Findings</w:t>
      </w:r>
      <w:r w:rsidR="006151A8">
        <w:rPr>
          <w:rFonts w:ascii="Book Antiqua" w:hAnsi="Book Antiqua"/>
          <w:i/>
        </w:rPr>
        <w:t>/Percentages of Female and Male Characters</w:t>
      </w:r>
    </w:p>
    <w:p w:rsidR="006151A8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>•Only 15% of all clearly iden</w:t>
      </w:r>
      <w:r w:rsidR="006429D3">
        <w:rPr>
          <w:rFonts w:ascii="Book Antiqua" w:hAnsi="Book Antiqua"/>
        </w:rPr>
        <w:t xml:space="preserve">tifiable </w:t>
      </w:r>
      <w:r w:rsidR="006429D3" w:rsidRPr="00B24F95">
        <w:rPr>
          <w:rFonts w:ascii="Book Antiqua" w:hAnsi="Book Antiqua"/>
          <w:i/>
        </w:rPr>
        <w:t>protagonists</w:t>
      </w:r>
      <w:r w:rsidR="006429D3">
        <w:rPr>
          <w:rFonts w:ascii="Book Antiqua" w:hAnsi="Book Antiqua"/>
        </w:rPr>
        <w:t xml:space="preserve"> we</w:t>
      </w:r>
      <w:r>
        <w:rPr>
          <w:rFonts w:ascii="Book Antiqua" w:hAnsi="Book Antiqua"/>
        </w:rPr>
        <w:t>re female</w:t>
      </w:r>
      <w:r w:rsidR="005B1F7A">
        <w:rPr>
          <w:rFonts w:ascii="Book Antiqua" w:hAnsi="Book Antiqua"/>
        </w:rPr>
        <w:t xml:space="preserve"> (</w:t>
      </w:r>
      <w:r w:rsidR="006429D3">
        <w:rPr>
          <w:rFonts w:ascii="Book Antiqua" w:hAnsi="Book Antiqua"/>
        </w:rPr>
        <w:t xml:space="preserve">up 4 percentage points from 2011, </w:t>
      </w:r>
      <w:r w:rsidR="005B1F7A">
        <w:rPr>
          <w:rFonts w:ascii="Book Antiqua" w:hAnsi="Book Antiqua"/>
        </w:rPr>
        <w:t>down one percentage point from 2002)</w:t>
      </w:r>
      <w:r>
        <w:rPr>
          <w:rFonts w:ascii="Book Antiqua" w:hAnsi="Book Antiqua"/>
        </w:rPr>
        <w:t>, 71% are male, and 14% are male/female ensembles (see Figure 1).</w:t>
      </w:r>
    </w:p>
    <w:p w:rsidR="00484CF5" w:rsidRDefault="00484CF5" w:rsidP="006151A8">
      <w:pPr>
        <w:rPr>
          <w:rFonts w:ascii="Book Antiqua" w:hAnsi="Book Antiqua"/>
        </w:rPr>
      </w:pPr>
      <w:r>
        <w:rPr>
          <w:rFonts w:ascii="Book Antiqua" w:hAnsi="Book Antiqua"/>
        </w:rPr>
        <w:t>•Females comprised 29%</w:t>
      </w:r>
      <w:r w:rsidR="00B24F95">
        <w:rPr>
          <w:rFonts w:ascii="Book Antiqua" w:hAnsi="Book Antiqua"/>
        </w:rPr>
        <w:t xml:space="preserve"> of </w:t>
      </w:r>
      <w:r w:rsidR="00B24F95" w:rsidRPr="00B24F95">
        <w:rPr>
          <w:rFonts w:ascii="Book Antiqua" w:hAnsi="Book Antiqua"/>
          <w:i/>
        </w:rPr>
        <w:t>major characters</w:t>
      </w:r>
      <w:r>
        <w:rPr>
          <w:rFonts w:ascii="Book Antiqua" w:hAnsi="Book Antiqua"/>
        </w:rPr>
        <w:t>, down 4 percentage points from 2011, but up 2 percentage points from 2002.</w:t>
      </w:r>
      <w:r w:rsidR="00B24F95">
        <w:rPr>
          <w:rFonts w:ascii="Book Antiqua" w:hAnsi="Book Antiqua"/>
        </w:rPr>
        <w:t xml:space="preserve">  </w:t>
      </w:r>
    </w:p>
    <w:p w:rsidR="006151A8" w:rsidRDefault="00484CF5" w:rsidP="006151A8">
      <w:pPr>
        <w:rPr>
          <w:rFonts w:ascii="Book Antiqua" w:hAnsi="Book Antiqua"/>
        </w:rPr>
      </w:pPr>
      <w:r>
        <w:rPr>
          <w:rFonts w:ascii="Book Antiqua" w:hAnsi="Book Antiqua"/>
        </w:rPr>
        <w:t>•</w:t>
      </w:r>
      <w:r w:rsidR="006151A8">
        <w:rPr>
          <w:rFonts w:ascii="Book Antiqua" w:hAnsi="Book Antiqua"/>
        </w:rPr>
        <w:t xml:space="preserve">Females accounted for 30% of all </w:t>
      </w:r>
      <w:r w:rsidR="006151A8" w:rsidRPr="00B24F95">
        <w:rPr>
          <w:rFonts w:ascii="Book Antiqua" w:hAnsi="Book Antiqua"/>
          <w:i/>
        </w:rPr>
        <w:t>speaking characters</w:t>
      </w:r>
      <w:r w:rsidR="006151A8">
        <w:rPr>
          <w:rFonts w:ascii="Book Antiqua" w:hAnsi="Book Antiqua"/>
        </w:rPr>
        <w:t xml:space="preserve"> </w:t>
      </w:r>
      <w:r w:rsidR="00B24F95">
        <w:rPr>
          <w:rFonts w:ascii="Book Antiqua" w:hAnsi="Book Antiqua"/>
        </w:rPr>
        <w:t xml:space="preserve">(includes major and minor characters) </w:t>
      </w:r>
      <w:r w:rsidR="006151A8">
        <w:rPr>
          <w:rFonts w:ascii="Book Antiqua" w:hAnsi="Book Antiqua"/>
        </w:rPr>
        <w:t>in 2013, down 3 percentage points from 2011, but up 2 percentage points from 2002.</w:t>
      </w:r>
    </w:p>
    <w:p w:rsidR="001203DB" w:rsidRDefault="001203DB" w:rsidP="00AD4555">
      <w:pPr>
        <w:rPr>
          <w:rFonts w:ascii="Book Antiqua" w:hAnsi="Book Antiqua"/>
          <w:noProof/>
        </w:rPr>
      </w:pPr>
    </w:p>
    <w:p w:rsidR="001203DB" w:rsidRDefault="001203DB" w:rsidP="00AD4555">
      <w:pPr>
        <w:rPr>
          <w:rFonts w:ascii="Book Antiqua" w:hAnsi="Book Antiqua"/>
          <w:noProof/>
        </w:rPr>
      </w:pPr>
    </w:p>
    <w:p w:rsidR="000E53B3" w:rsidRDefault="000E53B3" w:rsidP="00AD4555">
      <w:pPr>
        <w:rPr>
          <w:rFonts w:ascii="Book Antiqua" w:hAnsi="Book Antiqua"/>
        </w:rPr>
      </w:pPr>
    </w:p>
    <w:p w:rsidR="000E53B3" w:rsidRDefault="000E53B3" w:rsidP="00AD4555">
      <w:pPr>
        <w:rPr>
          <w:rFonts w:ascii="Book Antiqua" w:hAnsi="Book Antiqua"/>
        </w:rPr>
      </w:pPr>
    </w:p>
    <w:p w:rsidR="00AD4555" w:rsidRDefault="00AD4555" w:rsidP="00AD4555">
      <w:pPr>
        <w:rPr>
          <w:rFonts w:ascii="Book Antiqua" w:hAnsi="Book Antiqua"/>
        </w:rPr>
      </w:pPr>
    </w:p>
    <w:p w:rsidR="004A076B" w:rsidRDefault="00AD4555" w:rsidP="004A076B">
      <w:pPr>
        <w:jc w:val="center"/>
        <w:rPr>
          <w:rFonts w:ascii="Book Antiqua" w:hAnsi="Book Antiqua"/>
          <w:i/>
        </w:rPr>
      </w:pPr>
      <w:r w:rsidRPr="00ED68A6">
        <w:rPr>
          <w:rFonts w:ascii="Book Antiqua" w:hAnsi="Book Antiqua"/>
          <w:i/>
        </w:rPr>
        <w:t>Figure 1.</w:t>
      </w:r>
    </w:p>
    <w:p w:rsidR="00AD4555" w:rsidRDefault="004A076B" w:rsidP="004A076B">
      <w:pPr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Historical </w:t>
      </w:r>
      <w:r w:rsidR="00AD4555" w:rsidRPr="008845D2">
        <w:rPr>
          <w:rFonts w:ascii="Book Antiqua" w:hAnsi="Book Antiqua"/>
          <w:i/>
        </w:rPr>
        <w:t xml:space="preserve">Comparison of Percentages of Female </w:t>
      </w:r>
      <w:r w:rsidR="00101AFF">
        <w:rPr>
          <w:rFonts w:ascii="Book Antiqua" w:hAnsi="Book Antiqua"/>
          <w:i/>
        </w:rPr>
        <w:t xml:space="preserve">and Male </w:t>
      </w:r>
      <w:r w:rsidR="00AD4555" w:rsidRPr="008845D2">
        <w:rPr>
          <w:rFonts w:ascii="Book Antiqua" w:hAnsi="Book Antiqua"/>
          <w:i/>
        </w:rPr>
        <w:t xml:space="preserve">Characters as </w:t>
      </w:r>
      <w:r>
        <w:rPr>
          <w:rFonts w:ascii="Book Antiqua" w:hAnsi="Book Antiqua"/>
          <w:i/>
        </w:rPr>
        <w:t>Protagonists</w:t>
      </w:r>
    </w:p>
    <w:p w:rsidR="004A076B" w:rsidRDefault="00C31943" w:rsidP="00AD4555">
      <w:pPr>
        <w:jc w:val="center"/>
        <w:rPr>
          <w:rFonts w:ascii="Book Antiqua" w:hAnsi="Book Antiqua"/>
          <w:noProof/>
        </w:rPr>
      </w:pPr>
      <w:r w:rsidRPr="00C31943">
        <w:rPr>
          <w:rFonts w:ascii="Book Antiqua" w:hAnsi="Book Antiqua"/>
          <w:noProof/>
        </w:rPr>
        <w:drawing>
          <wp:inline distT="0" distB="0" distL="0" distR="0">
            <wp:extent cx="2489200" cy="2806700"/>
            <wp:effectExtent l="25400" t="25400" r="0" b="0"/>
            <wp:docPr id="3" name="C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151A8" w:rsidRDefault="006151A8" w:rsidP="00C31943">
      <w:pPr>
        <w:rPr>
          <w:rFonts w:ascii="Book Antiqua" w:hAnsi="Book Antiqua"/>
          <w:noProof/>
        </w:rPr>
      </w:pPr>
    </w:p>
    <w:p w:rsidR="00AD4555" w:rsidRDefault="00AD4555" w:rsidP="00C31943">
      <w:pPr>
        <w:rPr>
          <w:rFonts w:ascii="Book Antiqua" w:hAnsi="Book Antiqua"/>
          <w:noProof/>
        </w:rPr>
      </w:pPr>
    </w:p>
    <w:p w:rsidR="00AD4555" w:rsidRPr="00ED68A6" w:rsidRDefault="00124602" w:rsidP="00124602">
      <w:pPr>
        <w:rPr>
          <w:rFonts w:ascii="Book Antiqua" w:hAnsi="Book Antiqua"/>
          <w:i/>
          <w:noProof/>
        </w:rPr>
      </w:pPr>
      <w:r>
        <w:rPr>
          <w:rFonts w:ascii="Book Antiqua" w:hAnsi="Book Antiqua"/>
          <w:i/>
          <w:noProof/>
        </w:rPr>
        <w:t>Findings/Demographic</w:t>
      </w:r>
      <w:r w:rsidR="004A076B">
        <w:rPr>
          <w:rFonts w:ascii="Book Antiqua" w:hAnsi="Book Antiqua"/>
          <w:i/>
          <w:noProof/>
        </w:rPr>
        <w:t xml:space="preserve"> Characteristics</w:t>
      </w:r>
    </w:p>
    <w:p w:rsidR="001916E6" w:rsidRDefault="001916E6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•Female characters remain</w:t>
      </w:r>
      <w:r w:rsidR="00AD4555">
        <w:rPr>
          <w:rFonts w:ascii="Book Antiqua" w:hAnsi="Book Antiqua"/>
        </w:rPr>
        <w:t xml:space="preserve"> younger than their male counterparts.  The majority of female</w:t>
      </w:r>
      <w:r w:rsidR="006429D3">
        <w:rPr>
          <w:rFonts w:ascii="Book Antiqua" w:hAnsi="Book Antiqua"/>
        </w:rPr>
        <w:t xml:space="preserve"> characters we</w:t>
      </w:r>
      <w:r>
        <w:rPr>
          <w:rFonts w:ascii="Book Antiqua" w:hAnsi="Book Antiqua"/>
        </w:rPr>
        <w:t>re in their 20s (26</w:t>
      </w:r>
      <w:r w:rsidR="00AD4555">
        <w:rPr>
          <w:rFonts w:ascii="Book Antiqua" w:hAnsi="Book Antiqua"/>
        </w:rPr>
        <w:t>%) and 30s (28%).  The majority of male</w:t>
      </w:r>
      <w:r w:rsidR="006429D3">
        <w:rPr>
          <w:rFonts w:ascii="Book Antiqua" w:hAnsi="Book Antiqua"/>
        </w:rPr>
        <w:t xml:space="preserve"> characters we</w:t>
      </w:r>
      <w:r>
        <w:rPr>
          <w:rFonts w:ascii="Book Antiqua" w:hAnsi="Book Antiqua"/>
        </w:rPr>
        <w:t>re in their 30s (27%) and 40s (31</w:t>
      </w:r>
      <w:r w:rsidR="00AD4555">
        <w:rPr>
          <w:rFonts w:ascii="Book Antiqua" w:hAnsi="Book Antiqua"/>
        </w:rPr>
        <w:t xml:space="preserve">%).   </w:t>
      </w:r>
    </w:p>
    <w:p w:rsidR="00AD4555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•</w:t>
      </w:r>
      <w:r w:rsidR="001916E6">
        <w:rPr>
          <w:rFonts w:ascii="Book Antiqua" w:hAnsi="Book Antiqua"/>
        </w:rPr>
        <w:t>Males 40 and over account</w:t>
      </w:r>
      <w:r w:rsidR="006429D3">
        <w:rPr>
          <w:rFonts w:ascii="Book Antiqua" w:hAnsi="Book Antiqua"/>
        </w:rPr>
        <w:t>ed</w:t>
      </w:r>
      <w:r w:rsidR="001916E6">
        <w:rPr>
          <w:rFonts w:ascii="Book Antiqua" w:hAnsi="Book Antiqua"/>
        </w:rPr>
        <w:t xml:space="preserve"> for 55</w:t>
      </w:r>
      <w:r>
        <w:rPr>
          <w:rFonts w:ascii="Book Antiqua" w:hAnsi="Book Antiqua"/>
        </w:rPr>
        <w:t xml:space="preserve">% of all male characters. </w:t>
      </w:r>
      <w:r w:rsidR="001916E6">
        <w:rPr>
          <w:rFonts w:ascii="Book Antiqua" w:hAnsi="Book Antiqua"/>
        </w:rPr>
        <w:t xml:space="preserve"> Females 40 and over comprise</w:t>
      </w:r>
      <w:r w:rsidR="006429D3">
        <w:rPr>
          <w:rFonts w:ascii="Book Antiqua" w:hAnsi="Book Antiqua"/>
        </w:rPr>
        <w:t>d</w:t>
      </w:r>
      <w:r w:rsidR="001916E6">
        <w:rPr>
          <w:rFonts w:ascii="Book Antiqua" w:hAnsi="Book Antiqua"/>
        </w:rPr>
        <w:t xml:space="preserve"> 30</w:t>
      </w:r>
      <w:r>
        <w:rPr>
          <w:rFonts w:ascii="Book Antiqua" w:hAnsi="Book Antiqua"/>
        </w:rPr>
        <w:t>% of all female characters.</w:t>
      </w:r>
    </w:p>
    <w:p w:rsidR="00AD4555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>•7</w:t>
      </w:r>
      <w:r w:rsidR="006429D3">
        <w:rPr>
          <w:rFonts w:ascii="Book Antiqua" w:hAnsi="Book Antiqua"/>
        </w:rPr>
        <w:t>3% of all female characters we</w:t>
      </w:r>
      <w:r>
        <w:rPr>
          <w:rFonts w:ascii="Book Antiqua" w:hAnsi="Book Antiqua"/>
        </w:rPr>
        <w:t>re Caucasian,</w:t>
      </w:r>
      <w:r w:rsidR="0014403E">
        <w:rPr>
          <w:rFonts w:ascii="Book Antiqua" w:hAnsi="Book Antiqua"/>
        </w:rPr>
        <w:t xml:space="preserve"> followed by African American (14%), Latina (5%), Asian (3%), other worldly (3%</w:t>
      </w:r>
      <w:r w:rsidR="006429D3">
        <w:rPr>
          <w:rFonts w:ascii="Book Antiqua" w:hAnsi="Book Antiqua"/>
        </w:rPr>
        <w:t>), and other (2%).  Moviegoers we</w:t>
      </w:r>
      <w:r w:rsidR="0014403E">
        <w:rPr>
          <w:rFonts w:ascii="Book Antiqua" w:hAnsi="Book Antiqua"/>
        </w:rPr>
        <w:t>re</w:t>
      </w:r>
      <w:r>
        <w:rPr>
          <w:rFonts w:ascii="Book Antiqua" w:hAnsi="Book Antiqua"/>
        </w:rPr>
        <w:t xml:space="preserve"> as likely to see an </w:t>
      </w:r>
      <w:r w:rsidR="000962B6">
        <w:rPr>
          <w:rFonts w:ascii="Book Antiqua" w:hAnsi="Book Antiqua"/>
        </w:rPr>
        <w:t>other-worldly</w:t>
      </w:r>
      <w:r w:rsidR="006429D3">
        <w:rPr>
          <w:rFonts w:ascii="Book Antiqua" w:hAnsi="Book Antiqua"/>
        </w:rPr>
        <w:t xml:space="preserve"> female as they we</w:t>
      </w:r>
      <w:r w:rsidR="0014403E">
        <w:rPr>
          <w:rFonts w:ascii="Book Antiqua" w:hAnsi="Book Antiqua"/>
        </w:rPr>
        <w:t xml:space="preserve">re to see an </w:t>
      </w:r>
      <w:r>
        <w:rPr>
          <w:rFonts w:ascii="Book Antiqua" w:hAnsi="Book Antiqua"/>
        </w:rPr>
        <w:t xml:space="preserve">Asian female character.  </w:t>
      </w:r>
    </w:p>
    <w:p w:rsidR="00AD4555" w:rsidRDefault="00455E37" w:rsidP="00AD4555">
      <w:pPr>
        <w:rPr>
          <w:rFonts w:ascii="Book Antiqua" w:hAnsi="Book Antiqua"/>
        </w:rPr>
      </w:pPr>
      <w:r>
        <w:rPr>
          <w:rFonts w:ascii="Book Antiqua" w:hAnsi="Book Antiqua"/>
        </w:rPr>
        <w:t>•In 2013, t</w:t>
      </w:r>
      <w:r w:rsidR="00AD4555">
        <w:rPr>
          <w:rFonts w:ascii="Book Antiqua" w:hAnsi="Book Antiqua"/>
        </w:rPr>
        <w:t xml:space="preserve">he percentage of African-American females </w:t>
      </w:r>
      <w:r>
        <w:rPr>
          <w:rFonts w:ascii="Book Antiqua" w:hAnsi="Book Antiqua"/>
        </w:rPr>
        <w:t xml:space="preserve">rebounded to 14% from 8% in 2011.  For comparison, African-American females accounted for 15% of all female characters in 2002.  </w:t>
      </w:r>
    </w:p>
    <w:p w:rsidR="00AD4555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•The percentage of Latina </w:t>
      </w:r>
      <w:r w:rsidR="00455E37">
        <w:rPr>
          <w:rFonts w:ascii="Book Antiqua" w:hAnsi="Book Antiqua"/>
        </w:rPr>
        <w:t>character</w:t>
      </w:r>
      <w:r>
        <w:rPr>
          <w:rFonts w:ascii="Book Antiqua" w:hAnsi="Book Antiqua"/>
        </w:rPr>
        <w:t xml:space="preserve">s </w:t>
      </w:r>
      <w:r w:rsidR="00455E37">
        <w:rPr>
          <w:rFonts w:ascii="Book Antiqua" w:hAnsi="Book Antiqua"/>
        </w:rPr>
        <w:t>remained the same (5%) in 2013 as in 2011.  This represents an increase o</w:t>
      </w:r>
      <w:r w:rsidR="00CB1062">
        <w:rPr>
          <w:rFonts w:ascii="Book Antiqua" w:hAnsi="Book Antiqua"/>
        </w:rPr>
        <w:t>f 1 percentage point since 2002 when Latinas accounted for 4% of female characters.</w:t>
      </w:r>
      <w:r w:rsidR="00455E37">
        <w:rPr>
          <w:rFonts w:ascii="Book Antiqua" w:hAnsi="Book Antiqua"/>
        </w:rPr>
        <w:t xml:space="preserve">  </w:t>
      </w:r>
    </w:p>
    <w:p w:rsidR="00AD4555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•The percentage of Asian females </w:t>
      </w:r>
      <w:r w:rsidR="00CB1062">
        <w:rPr>
          <w:rFonts w:ascii="Book Antiqua" w:hAnsi="Book Antiqua"/>
        </w:rPr>
        <w:t>decreased 2 percentage points, from 5% in 2011 to 3% in 2013.  Asians also accounted for 3% of all females in 2002.</w:t>
      </w:r>
    </w:p>
    <w:p w:rsidR="00277A57" w:rsidRDefault="00AD4555" w:rsidP="00AD4555">
      <w:pPr>
        <w:rPr>
          <w:rFonts w:ascii="Book Antiqua" w:hAnsi="Book Antiqua"/>
        </w:rPr>
      </w:pPr>
      <w:r>
        <w:rPr>
          <w:rFonts w:ascii="Book Antiqua" w:hAnsi="Book Antiqua"/>
        </w:rPr>
        <w:t>•</w:t>
      </w:r>
      <w:r w:rsidR="006429D3">
        <w:rPr>
          <w:rFonts w:ascii="Book Antiqua" w:hAnsi="Book Antiqua"/>
        </w:rPr>
        <w:t>Female characters we</w:t>
      </w:r>
      <w:r w:rsidR="00CB1062">
        <w:rPr>
          <w:rFonts w:ascii="Book Antiqua" w:hAnsi="Book Antiqua"/>
        </w:rPr>
        <w:t>re more likely than male characters to have an identifiable marital status.  46% of female characters</w:t>
      </w:r>
      <w:r w:rsidR="006429D3">
        <w:rPr>
          <w:rFonts w:ascii="Book Antiqua" w:hAnsi="Book Antiqua"/>
        </w:rPr>
        <w:t xml:space="preserve"> but 58% of male characters had</w:t>
      </w:r>
      <w:r w:rsidR="00CB1062">
        <w:rPr>
          <w:rFonts w:ascii="Book Antiqua" w:hAnsi="Book Antiqua"/>
        </w:rPr>
        <w:t xml:space="preserve"> an unknown marital status.  </w:t>
      </w:r>
    </w:p>
    <w:p w:rsidR="00AD4555" w:rsidRDefault="00277A57" w:rsidP="00AD455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•A higher proportion of </w:t>
      </w:r>
      <w:r w:rsidR="006429D3">
        <w:rPr>
          <w:rFonts w:ascii="Book Antiqua" w:hAnsi="Book Antiqua"/>
        </w:rPr>
        <w:t>male than female characters had</w:t>
      </w:r>
      <w:r>
        <w:rPr>
          <w:rFonts w:ascii="Book Antiqua" w:hAnsi="Book Antiqua"/>
        </w:rPr>
        <w:t xml:space="preserve"> an identifiable occupational status.  78% of male characters but on</w:t>
      </w:r>
      <w:r w:rsidR="006429D3">
        <w:rPr>
          <w:rFonts w:ascii="Book Antiqua" w:hAnsi="Book Antiqua"/>
        </w:rPr>
        <w:t>ly 60% of female characters had</w:t>
      </w:r>
      <w:r>
        <w:rPr>
          <w:rFonts w:ascii="Book Antiqua" w:hAnsi="Book Antiqua"/>
        </w:rPr>
        <w:t xml:space="preserve"> an identifiable job/occupation.</w:t>
      </w:r>
    </w:p>
    <w:p w:rsidR="00277A57" w:rsidRDefault="000962B6" w:rsidP="00AD4555">
      <w:pPr>
        <w:rPr>
          <w:rFonts w:ascii="Book Antiqua" w:hAnsi="Book Antiqua"/>
        </w:rPr>
      </w:pPr>
      <w:r>
        <w:rPr>
          <w:rFonts w:ascii="Book Antiqua" w:hAnsi="Book Antiqua"/>
        </w:rPr>
        <w:t>•When occupational status wa</w:t>
      </w:r>
      <w:r w:rsidR="00AD4555">
        <w:rPr>
          <w:rFonts w:ascii="Book Antiqua" w:hAnsi="Book Antiqua"/>
        </w:rPr>
        <w:t>s known, female c</w:t>
      </w:r>
      <w:r w:rsidR="006429D3">
        <w:rPr>
          <w:rFonts w:ascii="Book Antiqua" w:hAnsi="Book Antiqua"/>
        </w:rPr>
        <w:t>haracters we</w:t>
      </w:r>
      <w:r w:rsidR="00CB1062">
        <w:rPr>
          <w:rFonts w:ascii="Book Antiqua" w:hAnsi="Book Antiqua"/>
        </w:rPr>
        <w:t>re most likely to hold blue collar positions (37%), followed by white collar positions (28%), out-of-workforce positions such as students (19%), and professional positions (9</w:t>
      </w:r>
      <w:r w:rsidR="00ED0DEE">
        <w:rPr>
          <w:rFonts w:ascii="Book Antiqua" w:hAnsi="Book Antiqua"/>
        </w:rPr>
        <w:t>%).</w:t>
      </w:r>
    </w:p>
    <w:p w:rsidR="006151A8" w:rsidRDefault="00277A57" w:rsidP="004A076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•A substantially larger portion </w:t>
      </w:r>
      <w:r w:rsidR="006429D3">
        <w:rPr>
          <w:rFonts w:ascii="Book Antiqua" w:hAnsi="Book Antiqua"/>
        </w:rPr>
        <w:t>of male than female characters we</w:t>
      </w:r>
      <w:r>
        <w:rPr>
          <w:rFonts w:ascii="Book Antiqua" w:hAnsi="Book Antiqua"/>
        </w:rPr>
        <w:t xml:space="preserve">re seen in their work setting actually working (61% vs. 40%). </w:t>
      </w:r>
    </w:p>
    <w:p w:rsidR="00277A57" w:rsidRDefault="00277A57" w:rsidP="004A076B">
      <w:pPr>
        <w:rPr>
          <w:rFonts w:ascii="Book Antiqua" w:hAnsi="Book Antiqua"/>
        </w:rPr>
      </w:pPr>
    </w:p>
    <w:p w:rsidR="004A076B" w:rsidRPr="004A076B" w:rsidRDefault="004A076B" w:rsidP="004A076B">
      <w:pPr>
        <w:rPr>
          <w:rFonts w:ascii="Book Antiqua" w:hAnsi="Book Antiqua"/>
          <w:i/>
        </w:rPr>
      </w:pPr>
      <w:r w:rsidRPr="004A076B">
        <w:rPr>
          <w:rFonts w:ascii="Book Antiqua" w:hAnsi="Book Antiqua"/>
          <w:i/>
        </w:rPr>
        <w:t>Findings/</w:t>
      </w:r>
      <w:r w:rsidR="006151A8">
        <w:rPr>
          <w:rFonts w:ascii="Book Antiqua" w:hAnsi="Book Antiqua"/>
          <w:i/>
        </w:rPr>
        <w:t>Goals and Leadership</w:t>
      </w:r>
    </w:p>
    <w:p w:rsidR="004A076B" w:rsidRDefault="006429D3" w:rsidP="004A076B">
      <w:pPr>
        <w:rPr>
          <w:rFonts w:ascii="Book Antiqua" w:hAnsi="Book Antiqua"/>
        </w:rPr>
      </w:pPr>
      <w:r>
        <w:rPr>
          <w:rFonts w:ascii="Book Antiqua" w:hAnsi="Book Antiqua"/>
        </w:rPr>
        <w:t>•</w:t>
      </w:r>
      <w:r w:rsidR="00D47D89">
        <w:rPr>
          <w:rFonts w:ascii="Book Antiqua" w:hAnsi="Book Antiqua"/>
        </w:rPr>
        <w:t xml:space="preserve">Overall, </w:t>
      </w:r>
      <w:r>
        <w:rPr>
          <w:rFonts w:ascii="Book Antiqua" w:hAnsi="Book Antiqua"/>
        </w:rPr>
        <w:t>75% of speaking characters had</w:t>
      </w:r>
      <w:r w:rsidR="004A076B">
        <w:rPr>
          <w:rFonts w:ascii="Book Antiqua" w:hAnsi="Book Antiqua"/>
        </w:rPr>
        <w:t xml:space="preserve"> an identifiable goal.   Of those characters, a larger pr</w:t>
      </w:r>
      <w:r>
        <w:rPr>
          <w:rFonts w:ascii="Book Antiqua" w:hAnsi="Book Antiqua"/>
        </w:rPr>
        <w:t>oportion of male characters had</w:t>
      </w:r>
      <w:r w:rsidR="004A076B">
        <w:rPr>
          <w:rFonts w:ascii="Book Antiqua" w:hAnsi="Book Antiqua"/>
        </w:rPr>
        <w:t xml:space="preserve"> an identifiable goal (79%) than female characters (67%).  </w:t>
      </w:r>
    </w:p>
    <w:p w:rsidR="00AD4555" w:rsidRDefault="004A076B" w:rsidP="004A076B">
      <w:pPr>
        <w:rPr>
          <w:rFonts w:ascii="Book Antiqua" w:hAnsi="Book Antiqua"/>
        </w:rPr>
      </w:pPr>
      <w:r>
        <w:rPr>
          <w:rFonts w:ascii="Book Antiqua" w:hAnsi="Book Antiqua"/>
        </w:rPr>
        <w:t>•</w:t>
      </w:r>
      <w:r w:rsidR="006429D3">
        <w:rPr>
          <w:rFonts w:ascii="Book Antiqua" w:hAnsi="Book Antiqua"/>
        </w:rPr>
        <w:t>Male characters wer</w:t>
      </w:r>
      <w:r w:rsidR="00E24FD3">
        <w:rPr>
          <w:rFonts w:ascii="Book Antiqua" w:hAnsi="Book Antiqua"/>
        </w:rPr>
        <w:t xml:space="preserve">e much more likely to have work-related goals than personal life-related goals (75% vs. 25%).  In contrast, </w:t>
      </w:r>
      <w:r w:rsidR="006429D3">
        <w:rPr>
          <w:rFonts w:ascii="Book Antiqua" w:hAnsi="Book Antiqua"/>
        </w:rPr>
        <w:t>the goals of female characters we</w:t>
      </w:r>
      <w:r w:rsidR="00E24FD3">
        <w:rPr>
          <w:rFonts w:ascii="Book Antiqua" w:hAnsi="Book Antiqua"/>
        </w:rPr>
        <w:t xml:space="preserve">re split more evenly between work-related and personal life-related goals (48% vs. 52%). </w:t>
      </w:r>
    </w:p>
    <w:p w:rsidR="00D47D89" w:rsidRDefault="006429D3" w:rsidP="00316C6F">
      <w:pPr>
        <w:rPr>
          <w:rFonts w:ascii="Book Antiqua" w:hAnsi="Book Antiqua"/>
        </w:rPr>
      </w:pPr>
      <w:r>
        <w:rPr>
          <w:rFonts w:ascii="Book Antiqua" w:hAnsi="Book Antiqua"/>
        </w:rPr>
        <w:t>•Overall, 17% of characters we</w:t>
      </w:r>
      <w:r w:rsidR="00316C6F">
        <w:rPr>
          <w:rFonts w:ascii="Book Antiqua" w:hAnsi="Book Antiqua"/>
        </w:rPr>
        <w:t xml:space="preserve">re leaders.  </w:t>
      </w:r>
      <w:r w:rsidR="00D47D89">
        <w:rPr>
          <w:rFonts w:ascii="Book Antiqua" w:hAnsi="Book Antiqua"/>
        </w:rPr>
        <w:t>Of those characters, a larger proportion of male characters (21%) than female characters (8%) were portrayed as leaders.</w:t>
      </w:r>
    </w:p>
    <w:p w:rsidR="006151A8" w:rsidRDefault="00316C6F" w:rsidP="00AD4555">
      <w:pPr>
        <w:rPr>
          <w:rFonts w:ascii="Book Antiqua" w:hAnsi="Book Antiqua"/>
        </w:rPr>
      </w:pPr>
      <w:r>
        <w:rPr>
          <w:rFonts w:ascii="Book Antiqua" w:hAnsi="Book Antiqua"/>
        </w:rPr>
        <w:t>•</w:t>
      </w:r>
      <w:r w:rsidRPr="004A076B">
        <w:rPr>
          <w:rFonts w:ascii="Book Antiqua" w:hAnsi="Book Antiqua"/>
        </w:rPr>
        <w:t>Broken down by type of leader, males comprise</w:t>
      </w:r>
      <w:r w:rsidR="00C31943">
        <w:rPr>
          <w:rFonts w:ascii="Book Antiqua" w:hAnsi="Book Antiqua"/>
        </w:rPr>
        <w:t>d</w:t>
      </w:r>
      <w:r w:rsidRPr="004A076B">
        <w:rPr>
          <w:rFonts w:ascii="Book Antiqua" w:hAnsi="Book Antiqua"/>
        </w:rPr>
        <w:t xml:space="preserve"> 97% of </w:t>
      </w:r>
      <w:r w:rsidR="00102218" w:rsidRPr="004A076B">
        <w:rPr>
          <w:rFonts w:ascii="Book Antiqua" w:hAnsi="Book Antiqua"/>
        </w:rPr>
        <w:t>blue-collar</w:t>
      </w:r>
      <w:r w:rsidRPr="004A076B">
        <w:rPr>
          <w:rFonts w:ascii="Book Antiqua" w:hAnsi="Book Antiqua"/>
        </w:rPr>
        <w:t xml:space="preserve"> leaders, 89% </w:t>
      </w:r>
      <w:r w:rsidR="006429D3">
        <w:rPr>
          <w:rFonts w:ascii="Book Antiqua" w:hAnsi="Book Antiqua"/>
        </w:rPr>
        <w:t xml:space="preserve">of </w:t>
      </w:r>
      <w:r w:rsidRPr="004A076B">
        <w:rPr>
          <w:rFonts w:ascii="Book Antiqua" w:hAnsi="Book Antiqua"/>
        </w:rPr>
        <w:t xml:space="preserve">political leaders, </w:t>
      </w:r>
      <w:r>
        <w:rPr>
          <w:rFonts w:ascii="Book Antiqua" w:hAnsi="Book Antiqua"/>
        </w:rPr>
        <w:t xml:space="preserve">88% of criminal leaders, 86% of military leaders, 84% of </w:t>
      </w:r>
      <w:r w:rsidR="00102218">
        <w:rPr>
          <w:rFonts w:ascii="Book Antiqua" w:hAnsi="Book Antiqua"/>
        </w:rPr>
        <w:t>white-collar</w:t>
      </w:r>
      <w:r>
        <w:rPr>
          <w:rFonts w:ascii="Book Antiqua" w:hAnsi="Book Antiqua"/>
        </w:rPr>
        <w:t xml:space="preserve"> leaders, and 77% of soc</w:t>
      </w:r>
      <w:r w:rsidR="00C31943">
        <w:rPr>
          <w:rFonts w:ascii="Book Antiqua" w:hAnsi="Book Antiqua"/>
        </w:rPr>
        <w:t>ial leaders (see Figure 2).</w:t>
      </w:r>
    </w:p>
    <w:p w:rsidR="000962B6" w:rsidRDefault="000962B6" w:rsidP="00AD4555">
      <w:pPr>
        <w:rPr>
          <w:rFonts w:ascii="Book Antiqua" w:hAnsi="Book Antiqua"/>
        </w:rPr>
      </w:pPr>
    </w:p>
    <w:p w:rsidR="000962B6" w:rsidRDefault="000962B6" w:rsidP="00AD4555">
      <w:pPr>
        <w:rPr>
          <w:rFonts w:ascii="Book Antiqua" w:hAnsi="Book Antiqua"/>
        </w:rPr>
      </w:pPr>
    </w:p>
    <w:p w:rsidR="000962B6" w:rsidRDefault="000962B6" w:rsidP="00AD4555">
      <w:pPr>
        <w:rPr>
          <w:rFonts w:ascii="Book Antiqua" w:hAnsi="Book Antiqua"/>
        </w:rPr>
      </w:pPr>
    </w:p>
    <w:p w:rsidR="000E53B3" w:rsidRDefault="000E53B3" w:rsidP="00AD4555">
      <w:pPr>
        <w:rPr>
          <w:rFonts w:ascii="Book Antiqua" w:hAnsi="Book Antiqua"/>
        </w:rPr>
      </w:pPr>
    </w:p>
    <w:p w:rsidR="00AD4555" w:rsidRDefault="00AD4555" w:rsidP="00AD4555">
      <w:pPr>
        <w:rPr>
          <w:rFonts w:ascii="Book Antiqua" w:hAnsi="Book Antiqua"/>
        </w:rPr>
      </w:pPr>
    </w:p>
    <w:p w:rsidR="00C31943" w:rsidRPr="00C31943" w:rsidRDefault="00C31943" w:rsidP="00C31943">
      <w:pPr>
        <w:jc w:val="center"/>
        <w:rPr>
          <w:rFonts w:ascii="Book Antiqua" w:hAnsi="Book Antiqua"/>
          <w:i/>
        </w:rPr>
      </w:pPr>
      <w:r w:rsidRPr="00C31943">
        <w:rPr>
          <w:rFonts w:ascii="Book Antiqua" w:hAnsi="Book Antiqua"/>
          <w:i/>
        </w:rPr>
        <w:t>Figure 2.</w:t>
      </w:r>
    </w:p>
    <w:p w:rsidR="00AD4555" w:rsidRPr="00C31943" w:rsidRDefault="00C31943" w:rsidP="00C31943">
      <w:pPr>
        <w:jc w:val="center"/>
        <w:rPr>
          <w:rFonts w:ascii="Book Antiqua" w:hAnsi="Book Antiqua"/>
          <w:i/>
        </w:rPr>
      </w:pPr>
      <w:r w:rsidRPr="00C31943">
        <w:rPr>
          <w:rFonts w:ascii="Book Antiqua" w:hAnsi="Book Antiqua"/>
          <w:i/>
        </w:rPr>
        <w:t>Comparison of Percentages of Female and Male Characters as Leaders</w:t>
      </w:r>
    </w:p>
    <w:p w:rsidR="00AD4555" w:rsidRDefault="00C31943" w:rsidP="00AD4555">
      <w:pPr>
        <w:rPr>
          <w:rFonts w:ascii="Book Antiqua" w:hAnsi="Book Antiqua"/>
        </w:rPr>
      </w:pPr>
      <w:r w:rsidRPr="00C31943">
        <w:rPr>
          <w:rFonts w:ascii="Book Antiqua" w:hAnsi="Book Antiqua"/>
        </w:rPr>
        <w:drawing>
          <wp:inline distT="0" distB="0" distL="0" distR="0">
            <wp:extent cx="2717800" cy="4076700"/>
            <wp:effectExtent l="25400" t="25400" r="0" b="0"/>
            <wp:docPr id="4" name="C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60A8" w:rsidRDefault="003B60A8" w:rsidP="00AD4555">
      <w:pPr>
        <w:rPr>
          <w:rFonts w:ascii="Book Antiqua" w:hAnsi="Book Antiqua"/>
        </w:rPr>
      </w:pPr>
    </w:p>
    <w:p w:rsidR="00AD4555" w:rsidRDefault="00AD4555" w:rsidP="00AD4555">
      <w:pPr>
        <w:rPr>
          <w:rFonts w:ascii="Book Antiqua" w:hAnsi="Book Antiqua"/>
        </w:rPr>
      </w:pPr>
    </w:p>
    <w:p w:rsidR="003B60A8" w:rsidRPr="00316C6F" w:rsidRDefault="003B60A8" w:rsidP="003B60A8">
      <w:pPr>
        <w:rPr>
          <w:rFonts w:ascii="Book Antiqua" w:hAnsi="Book Antiqua"/>
        </w:rPr>
      </w:pPr>
      <w:r>
        <w:rPr>
          <w:rFonts w:ascii="Book Antiqua" w:hAnsi="Book Antiqua"/>
          <w:i/>
          <w:sz w:val="20"/>
        </w:rPr>
        <w:t>Report compiled by Dr. Martha M. Lauzen, Executive Director,</w:t>
      </w:r>
      <w:r w:rsidRPr="00CC7BF1">
        <w:rPr>
          <w:rFonts w:ascii="Book Antiqua" w:hAnsi="Book Antiqua"/>
          <w:i/>
          <w:sz w:val="20"/>
        </w:rPr>
        <w:t xml:space="preserve"> Center for the Study of Women in Te</w:t>
      </w:r>
      <w:r>
        <w:rPr>
          <w:rFonts w:ascii="Book Antiqua" w:hAnsi="Book Antiqua"/>
          <w:i/>
          <w:sz w:val="20"/>
        </w:rPr>
        <w:t xml:space="preserve">levision and Film, </w:t>
      </w:r>
      <w:r w:rsidRPr="00CC7BF1">
        <w:rPr>
          <w:rFonts w:ascii="Book Antiqua" w:hAnsi="Book Antiqua"/>
          <w:i/>
          <w:sz w:val="20"/>
        </w:rPr>
        <w:t>San Diego State University, San Diego, CA 92182, lauzen@mail.sdsu.edu</w:t>
      </w:r>
    </w:p>
    <w:p w:rsidR="00AD4555" w:rsidRDefault="00AD4555"/>
    <w:sectPr w:rsidR="00AD4555" w:rsidSect="00AD4555">
      <w:footerReference w:type="even" r:id="rId6"/>
      <w:footerReference w:type="default" r:id="rId7"/>
      <w:pgSz w:w="12240" w:h="15840"/>
      <w:pgMar w:top="1440" w:right="1800" w:bottom="1440" w:left="180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42EDC" w:rsidRDefault="00B42EDC" w:rsidP="00AD45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EDC" w:rsidRDefault="00B42EDC" w:rsidP="00AD4555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42EDC" w:rsidRDefault="00B42EDC" w:rsidP="00AD45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F47">
      <w:rPr>
        <w:rStyle w:val="PageNumber"/>
        <w:noProof/>
      </w:rPr>
      <w:t>1</w:t>
    </w:r>
    <w:r>
      <w:rPr>
        <w:rStyle w:val="PageNumber"/>
      </w:rPr>
      <w:fldChar w:fldCharType="end"/>
    </w:r>
  </w:p>
  <w:p w:rsidR="00B42EDC" w:rsidRPr="007734BA" w:rsidRDefault="00B42EDC" w:rsidP="00AD4555">
    <w:pPr>
      <w:pStyle w:val="Footer"/>
      <w:ind w:right="360"/>
      <w:rPr>
        <w:i/>
      </w:rPr>
    </w:pPr>
    <w:r>
      <w:rPr>
        <w:i/>
      </w:rPr>
      <w:t>2013</w:t>
    </w:r>
    <w:r w:rsidRPr="007734BA">
      <w:rPr>
        <w:i/>
      </w:rPr>
      <w:t xml:space="preserve"> On-Screen Representations</w:t>
    </w:r>
    <w:r w:rsidRPr="007734BA">
      <w:rPr>
        <w:i/>
      </w:rPr>
      <w:tab/>
    </w:r>
    <w:r w:rsidRPr="007734BA">
      <w:rPr>
        <w:i/>
      </w:rPr>
      <w:tab/>
    </w:r>
    <w:r w:rsidRPr="00002197"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D4555"/>
    <w:rsid w:val="00066B02"/>
    <w:rsid w:val="000962B6"/>
    <w:rsid w:val="000E53B3"/>
    <w:rsid w:val="00101AFF"/>
    <w:rsid w:val="00102218"/>
    <w:rsid w:val="001203DB"/>
    <w:rsid w:val="00124602"/>
    <w:rsid w:val="0014403E"/>
    <w:rsid w:val="001916E6"/>
    <w:rsid w:val="00277A57"/>
    <w:rsid w:val="00316C6F"/>
    <w:rsid w:val="00335A22"/>
    <w:rsid w:val="003B60A8"/>
    <w:rsid w:val="003F5FF4"/>
    <w:rsid w:val="00407DA9"/>
    <w:rsid w:val="00455E37"/>
    <w:rsid w:val="00484CF5"/>
    <w:rsid w:val="004A076B"/>
    <w:rsid w:val="004F765E"/>
    <w:rsid w:val="0052265D"/>
    <w:rsid w:val="005B1F7A"/>
    <w:rsid w:val="00600CCB"/>
    <w:rsid w:val="006151A8"/>
    <w:rsid w:val="006429D3"/>
    <w:rsid w:val="00683ECB"/>
    <w:rsid w:val="00771F47"/>
    <w:rsid w:val="0087487C"/>
    <w:rsid w:val="00911CB2"/>
    <w:rsid w:val="00AD4555"/>
    <w:rsid w:val="00B22239"/>
    <w:rsid w:val="00B23F5B"/>
    <w:rsid w:val="00B24F95"/>
    <w:rsid w:val="00B42EDC"/>
    <w:rsid w:val="00B46DBD"/>
    <w:rsid w:val="00BC2276"/>
    <w:rsid w:val="00C31943"/>
    <w:rsid w:val="00CB1062"/>
    <w:rsid w:val="00CC7BF1"/>
    <w:rsid w:val="00D47D89"/>
    <w:rsid w:val="00D85C45"/>
    <w:rsid w:val="00DE1AD0"/>
    <w:rsid w:val="00E24FD3"/>
    <w:rsid w:val="00ED0DE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55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D4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555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D4555"/>
  </w:style>
  <w:style w:type="paragraph" w:styleId="Header">
    <w:name w:val="header"/>
    <w:basedOn w:val="Normal"/>
    <w:link w:val="HeaderChar"/>
    <w:uiPriority w:val="99"/>
    <w:semiHidden/>
    <w:unhideWhenUsed/>
    <w:rsid w:val="00AD455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555"/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16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chart" Target="charts/chart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8"/>
  <c:chart>
    <c:plotArea>
      <c:layout/>
      <c:barChart>
        <c:barDir val="bar"/>
        <c:grouping val="clustered"/>
        <c:ser>
          <c:idx val="0"/>
          <c:order val="0"/>
          <c:tx>
            <c:strRef>
              <c:f>[Workbook1]Sheet1!$B$1</c:f>
              <c:strCache>
                <c:ptCount val="1"/>
                <c:pt idx="0">
                  <c:v>Males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effectLst/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elete val="1"/>
          </c:dLbls>
          <c:cat>
            <c:numRef>
              <c:f>[Workbook1]Sheet1!$A$2:$A$4</c:f>
              <c:numCache>
                <c:formatCode>General</c:formatCode>
                <c:ptCount val="3"/>
                <c:pt idx="0">
                  <c:v>2002.0</c:v>
                </c:pt>
                <c:pt idx="1">
                  <c:v>2011.0</c:v>
                </c:pt>
                <c:pt idx="2">
                  <c:v>2013.0</c:v>
                </c:pt>
              </c:numCache>
            </c:numRef>
          </c:cat>
          <c:val>
            <c:numRef>
              <c:f>[Workbook1]Sheet1!$B$2:$B$4</c:f>
              <c:numCache>
                <c:formatCode>General</c:formatCode>
                <c:ptCount val="3"/>
                <c:pt idx="0">
                  <c:v>84.0</c:v>
                </c:pt>
                <c:pt idx="1">
                  <c:v>89.0</c:v>
                </c:pt>
                <c:pt idx="2">
                  <c:v>85.0</c:v>
                </c:pt>
              </c:numCache>
            </c:numRef>
          </c:val>
        </c:ser>
        <c:ser>
          <c:idx val="1"/>
          <c:order val="1"/>
          <c:tx>
            <c:strRef>
              <c:f>[Workbook1]Sheet1!$C$1</c:f>
              <c:strCache>
                <c:ptCount val="1"/>
                <c:pt idx="0">
                  <c:v>Females</c:v>
                </c:pt>
              </c:strCache>
            </c:strRef>
          </c:tx>
          <c:spPr>
            <a:solidFill>
              <a:schemeClr val="tx1"/>
            </a:solidFill>
            <a:effectLst/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elete val="1"/>
          </c:dLbls>
          <c:cat>
            <c:numRef>
              <c:f>[Workbook1]Sheet1!$A$2:$A$4</c:f>
              <c:numCache>
                <c:formatCode>General</c:formatCode>
                <c:ptCount val="3"/>
                <c:pt idx="0">
                  <c:v>2002.0</c:v>
                </c:pt>
                <c:pt idx="1">
                  <c:v>2011.0</c:v>
                </c:pt>
                <c:pt idx="2">
                  <c:v>2013.0</c:v>
                </c:pt>
              </c:numCache>
            </c:numRef>
          </c:cat>
          <c:val>
            <c:numRef>
              <c:f>[Workbook1]Sheet1!$C$2:$C$4</c:f>
              <c:numCache>
                <c:formatCode>General</c:formatCode>
                <c:ptCount val="3"/>
                <c:pt idx="0">
                  <c:v>16.0</c:v>
                </c:pt>
                <c:pt idx="1">
                  <c:v>11.0</c:v>
                </c:pt>
                <c:pt idx="2">
                  <c:v>15.0</c:v>
                </c:pt>
              </c:numCache>
            </c:numRef>
          </c:val>
        </c:ser>
        <c:axId val="629125944"/>
        <c:axId val="629128712"/>
      </c:barChart>
      <c:catAx>
        <c:axId val="629125944"/>
        <c:scaling>
          <c:orientation val="minMax"/>
        </c:scaling>
        <c:axPos val="l"/>
        <c:numFmt formatCode="General" sourceLinked="1"/>
        <c:tickLblPos val="nextTo"/>
        <c:crossAx val="629128712"/>
        <c:crosses val="autoZero"/>
        <c:auto val="1"/>
        <c:lblAlgn val="ctr"/>
        <c:lblOffset val="100"/>
      </c:catAx>
      <c:valAx>
        <c:axId val="629128712"/>
        <c:scaling>
          <c:orientation val="minMax"/>
        </c:scaling>
        <c:axPos val="b"/>
        <c:majorGridlines/>
        <c:numFmt formatCode="General" sourceLinked="1"/>
        <c:tickLblPos val="nextTo"/>
        <c:crossAx val="6291259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8"/>
  <c:chart>
    <c:plotArea>
      <c:layout/>
      <c:barChart>
        <c:barDir val="bar"/>
        <c:grouping val="clustered"/>
        <c:ser>
          <c:idx val="0"/>
          <c:order val="0"/>
          <c:tx>
            <c:strRef>
              <c:f>[Workbook1]Sheet2!$B$1</c:f>
              <c:strCache>
                <c:ptCount val="1"/>
                <c:pt idx="0">
                  <c:v>Males</c:v>
                </c:pt>
              </c:strCache>
            </c:strRef>
          </c:tx>
          <c:spPr>
            <a:solidFill>
              <a:schemeClr val="tx1"/>
            </a:solidFill>
            <a:effectLst/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Lbl>
              <c:idx val="4"/>
              <c:layout/>
              <c:showVal val="1"/>
            </c:dLbl>
            <c:dLbl>
              <c:idx val="5"/>
              <c:layout/>
              <c:showVal val="1"/>
            </c:dLbl>
            <c:delete val="1"/>
          </c:dLbls>
          <c:cat>
            <c:strRef>
              <c:f>[Workbook1]Sheet2!$A$2:$A$7</c:f>
              <c:strCache>
                <c:ptCount val="6"/>
                <c:pt idx="0">
                  <c:v>Social </c:v>
                </c:pt>
                <c:pt idx="1">
                  <c:v>White Collar</c:v>
                </c:pt>
                <c:pt idx="2">
                  <c:v>Military</c:v>
                </c:pt>
                <c:pt idx="3">
                  <c:v>Criminal</c:v>
                </c:pt>
                <c:pt idx="4">
                  <c:v>Political</c:v>
                </c:pt>
                <c:pt idx="5">
                  <c:v>Blue Collar</c:v>
                </c:pt>
              </c:strCache>
            </c:strRef>
          </c:cat>
          <c:val>
            <c:numRef>
              <c:f>[Workbook1]Sheet2!$B$2:$B$7</c:f>
              <c:numCache>
                <c:formatCode>General</c:formatCode>
                <c:ptCount val="6"/>
                <c:pt idx="0">
                  <c:v>77.0</c:v>
                </c:pt>
                <c:pt idx="1">
                  <c:v>84.0</c:v>
                </c:pt>
                <c:pt idx="2">
                  <c:v>86.0</c:v>
                </c:pt>
                <c:pt idx="3">
                  <c:v>88.0</c:v>
                </c:pt>
                <c:pt idx="4">
                  <c:v>89.0</c:v>
                </c:pt>
                <c:pt idx="5">
                  <c:v>97.0</c:v>
                </c:pt>
              </c:numCache>
            </c:numRef>
          </c:val>
        </c:ser>
        <c:ser>
          <c:idx val="1"/>
          <c:order val="1"/>
          <c:tx>
            <c:strRef>
              <c:f>[Workbook1]Sheet2!$C$1</c:f>
              <c:strCache>
                <c:ptCount val="1"/>
                <c:pt idx="0">
                  <c:v>Females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effectLst/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Lbl>
              <c:idx val="4"/>
              <c:layout/>
              <c:showVal val="1"/>
            </c:dLbl>
            <c:dLbl>
              <c:idx val="5"/>
              <c:layout/>
              <c:showVal val="1"/>
            </c:dLbl>
            <c:delete val="1"/>
          </c:dLbls>
          <c:cat>
            <c:strRef>
              <c:f>[Workbook1]Sheet2!$A$2:$A$7</c:f>
              <c:strCache>
                <c:ptCount val="6"/>
                <c:pt idx="0">
                  <c:v>Social </c:v>
                </c:pt>
                <c:pt idx="1">
                  <c:v>White Collar</c:v>
                </c:pt>
                <c:pt idx="2">
                  <c:v>Military</c:v>
                </c:pt>
                <c:pt idx="3">
                  <c:v>Criminal</c:v>
                </c:pt>
                <c:pt idx="4">
                  <c:v>Political</c:v>
                </c:pt>
                <c:pt idx="5">
                  <c:v>Blue Collar</c:v>
                </c:pt>
              </c:strCache>
            </c:strRef>
          </c:cat>
          <c:val>
            <c:numRef>
              <c:f>[Workbook1]Sheet2!$C$2:$C$7</c:f>
              <c:numCache>
                <c:formatCode>General</c:formatCode>
                <c:ptCount val="6"/>
                <c:pt idx="0">
                  <c:v>23.0</c:v>
                </c:pt>
                <c:pt idx="1">
                  <c:v>16.0</c:v>
                </c:pt>
                <c:pt idx="2">
                  <c:v>14.0</c:v>
                </c:pt>
                <c:pt idx="3">
                  <c:v>12.0</c:v>
                </c:pt>
                <c:pt idx="4">
                  <c:v>11.0</c:v>
                </c:pt>
                <c:pt idx="5">
                  <c:v>3.0</c:v>
                </c:pt>
              </c:numCache>
            </c:numRef>
          </c:val>
        </c:ser>
        <c:axId val="637949352"/>
        <c:axId val="637952408"/>
      </c:barChart>
      <c:catAx>
        <c:axId val="637949352"/>
        <c:scaling>
          <c:orientation val="minMax"/>
        </c:scaling>
        <c:axPos val="l"/>
        <c:tickLblPos val="nextTo"/>
        <c:crossAx val="637952408"/>
        <c:crosses val="autoZero"/>
        <c:auto val="1"/>
        <c:lblAlgn val="ctr"/>
        <c:lblOffset val="100"/>
      </c:catAx>
      <c:valAx>
        <c:axId val="637952408"/>
        <c:scaling>
          <c:orientation val="minMax"/>
          <c:max val="100.0"/>
        </c:scaling>
        <c:axPos val="b"/>
        <c:majorGridlines/>
        <c:numFmt formatCode="General" sourceLinked="1"/>
        <c:tickLblPos val="nextTo"/>
        <c:crossAx val="6379493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650</Words>
  <Characters>3709</Characters>
  <Application>Microsoft Word 12.0.0</Application>
  <DocSecurity>0</DocSecurity>
  <Lines>30</Lines>
  <Paragraphs>7</Paragraphs>
  <ScaleCrop>false</ScaleCrop>
  <Company>SDSU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cp:lastModifiedBy>Martha</cp:lastModifiedBy>
  <cp:revision>24</cp:revision>
  <cp:lastPrinted>2014-03-06T17:29:00Z</cp:lastPrinted>
  <dcterms:created xsi:type="dcterms:W3CDTF">2014-01-29T21:40:00Z</dcterms:created>
  <dcterms:modified xsi:type="dcterms:W3CDTF">2014-03-07T19:16:00Z</dcterms:modified>
</cp:coreProperties>
</file>